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黑体" w:cs="Times New Roman"/>
          <w:kern w:val="1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1"/>
          <w:sz w:val="32"/>
          <w:szCs w:val="32"/>
          <w:lang w:eastAsia="zh-CN"/>
        </w:rPr>
        <w:t>附件2</w:t>
      </w:r>
    </w:p>
    <w:p>
      <w:pPr>
        <w:pStyle w:val="2"/>
        <w:bidi w:val="0"/>
        <w:rPr>
          <w:rFonts w:hint="default"/>
          <w:lang w:eastAsia="zh-CN"/>
        </w:rPr>
      </w:pPr>
      <w:r>
        <w:rPr>
          <w:rFonts w:hint="default"/>
          <w:lang w:eastAsia="zh-CN"/>
        </w:rPr>
        <w:t>襄阳技师学院2022年度第二批公开招聘紧缺高层次专业人才岗位一览表</w:t>
      </w:r>
    </w:p>
    <w:tbl>
      <w:tblPr>
        <w:tblStyle w:val="8"/>
        <w:tblW w:w="1475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1260"/>
        <w:gridCol w:w="720"/>
        <w:gridCol w:w="1800"/>
        <w:gridCol w:w="4140"/>
        <w:gridCol w:w="3060"/>
        <w:gridCol w:w="540"/>
        <w:gridCol w:w="540"/>
        <w:gridCol w:w="540"/>
        <w:gridCol w:w="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7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12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岗（职）位名称</w:t>
            </w:r>
          </w:p>
        </w:tc>
        <w:tc>
          <w:tcPr>
            <w:tcW w:w="7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414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306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招聘条件</w:t>
            </w:r>
          </w:p>
        </w:tc>
        <w:tc>
          <w:tcPr>
            <w:tcW w:w="162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考试形式</w:t>
            </w:r>
          </w:p>
        </w:tc>
        <w:tc>
          <w:tcPr>
            <w:tcW w:w="53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9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414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06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笔试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面试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考核</w:t>
            </w:r>
          </w:p>
        </w:tc>
        <w:tc>
          <w:tcPr>
            <w:tcW w:w="53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襄阳技师学院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体育专业教师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硕士研究生以上学历学位（含硕士研究生），且普通高校本科阶段需取得相应学历学位（不含自考、函授、成教、网教、专升本）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硕士研究生以上学历学位（含硕士研究生），且普通高校本科阶段需取得相应学历学位（不含自考、函授、成教、网教、专升本）</w:t>
            </w:r>
          </w:p>
        </w:tc>
        <w:tc>
          <w:tcPr>
            <w:tcW w:w="4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体育教育、体育教育训练学、运动训练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1、硕士研究生及以上学历;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2、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硕士研究生年龄35周岁及以下，博士研究生年龄40周岁及以下。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√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襄阳技师学院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计算机专业教师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4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计算机科学与技术、软件工程、网络工程、信息安全、物联网工程、计算机系统结构、计算机软件与理论、计算机应用技术、大数据技术与工程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1、硕士研究生及以上学历;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2、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硕士研究生年龄35周岁及以下，博士研究生年龄40周岁及以下。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√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襄阳技师学院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电气专业教师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4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电气工程、电机与电器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1、硕士研究生及以上学历;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2、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硕士研究生年龄35周岁及以下，博士研究生年龄40周岁及以下。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√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襄阳技师学院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汽车专业教师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4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汽车服务工程、动力机械及工程、车辆工程、汽车运用工程、车辆新能源与节能工程、检测技术与自动化装置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1、硕士研究生及以上学历;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2、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硕士研究生年龄35周岁及以下，博士研究生年龄40周岁及以下。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√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襄阳技师学院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专技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电子专业教师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4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电子科学与技术、电子信息工程、电子与通信工程、电子信息、微电子学与固体电子学、光电信息工程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1、硕士研究生及以上学历;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2、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硕士研究生年龄35周岁及以下，博士研究生年龄40周岁及以下。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√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襄阳技师学院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专技</w:t>
            </w:r>
          </w:p>
        </w:tc>
        <w:tc>
          <w:tcPr>
            <w:tcW w:w="12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机电专业教师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41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自动化（工业机器人方向）、控制科学与工程、控制工程、机器人工程</w:t>
            </w:r>
          </w:p>
        </w:tc>
        <w:tc>
          <w:tcPr>
            <w:tcW w:w="3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1、硕士研究生及以上学历;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2、硕士研究生年龄35周岁及以下，博士研究生年龄40周岁及以下。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  <w:t>√</w:t>
            </w:r>
          </w:p>
        </w:tc>
        <w:tc>
          <w:tcPr>
            <w:tcW w:w="5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</w:rPr>
            </w:pPr>
          </w:p>
        </w:tc>
      </w:tr>
    </w:tbl>
    <w:p>
      <w:pPr>
        <w:rPr>
          <w:rFonts w:hint="default" w:ascii="Times New Roman" w:hAnsi="Times New Roman" w:cs="Times New Roman"/>
          <w:bCs/>
          <w:sz w:val="22"/>
          <w:szCs w:val="22"/>
        </w:rPr>
      </w:pPr>
    </w:p>
    <w:p>
      <w:pPr>
        <w:rPr>
          <w:rFonts w:hint="default" w:ascii="Times New Roman" w:hAnsi="Times New Roman" w:cs="Times New Roman"/>
          <w:b/>
          <w:bCs/>
          <w:sz w:val="44"/>
          <w:szCs w:val="44"/>
        </w:rPr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AndChars" w:linePitch="312" w:charSpace="0"/>
        </w:sectPr>
      </w:pPr>
    </w:p>
    <w:p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  <w:bookmarkStart w:id="0" w:name="_GoBack"/>
      <w:bookmarkEnd w:id="0"/>
    </w:p>
    <w:sectPr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LMb65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" w:hAnsi="仿宋" w:eastAsia="仿宋"/>
        <w:sz w:val="32"/>
        <w:szCs w:val="32"/>
      </w:rPr>
    </w:pPr>
    <w:r>
      <w:rPr>
        <w:rFonts w:ascii="仿宋" w:hAnsi="仿宋" w:eastAsia="仿宋"/>
        <w:sz w:val="32"/>
        <w:szCs w:val="32"/>
      </w:rPr>
      <w:fldChar w:fldCharType="begin"/>
    </w:r>
    <w:r>
      <w:rPr>
        <w:rFonts w:ascii="仿宋" w:hAnsi="仿宋" w:eastAsia="仿宋"/>
        <w:sz w:val="32"/>
        <w:szCs w:val="32"/>
      </w:rPr>
      <w:instrText xml:space="preserve">PAGE   \* MERGEFORMAT</w:instrText>
    </w:r>
    <w:r>
      <w:rPr>
        <w:rFonts w:ascii="仿宋" w:hAnsi="仿宋" w:eastAsia="仿宋"/>
        <w:sz w:val="32"/>
        <w:szCs w:val="32"/>
      </w:rPr>
      <w:fldChar w:fldCharType="separate"/>
    </w:r>
    <w:r>
      <w:rPr>
        <w:rFonts w:ascii="仿宋" w:hAnsi="仿宋" w:eastAsia="仿宋"/>
        <w:sz w:val="32"/>
        <w:szCs w:val="32"/>
        <w:lang w:val="zh-CN"/>
      </w:rPr>
      <w:t>-</w:t>
    </w:r>
    <w:r>
      <w:rPr>
        <w:rFonts w:ascii="仿宋" w:hAnsi="仿宋" w:eastAsia="仿宋"/>
        <w:sz w:val="32"/>
        <w:szCs w:val="32"/>
      </w:rPr>
      <w:t xml:space="preserve"> 2 -</w:t>
    </w:r>
    <w:r>
      <w:rPr>
        <w:rFonts w:ascii="仿宋" w:hAnsi="仿宋" w:eastAsia="仿宋"/>
        <w:sz w:val="32"/>
        <w:szCs w:val="32"/>
      </w:rP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8&#24120;&#29992;&#25991;&#20070;\0&#35140;&#25216;&#25991;&#65288;&#23545;&#22806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